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44546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</w:rPr>
      </w:pPr>
      <w:bookmarkStart w:colFirst="0" w:colLast="0" w:name="_heading=h.1smt1ntxl6q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Turning Points for Women’s Rights in Canada</w:t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Use the following timeline</w:t>
      </w:r>
      <w:r w:rsidDel="00000000" w:rsidR="00000000" w:rsidRPr="00000000">
        <w:rPr>
          <w:rFonts w:ascii="Arial" w:cs="Arial" w:eastAsia="Arial" w:hAnsi="Arial"/>
          <w:i w:val="1"/>
          <w:color w:val="0000ff"/>
          <w:u w:val="singl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563c1"/>
            <w:u w:val="single"/>
            <w:rtl w:val="0"/>
          </w:rPr>
          <w:t xml:space="preserve">https://web.archive.org/web/20201008053355/https://cfc-swc.gc.ca/commemoration/whm-mhf/timeline-chronologie-en.html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Select the top five turning points for women’s rights in Canada from Confederation to today. Provide a rationale for selecting each event as a significant turning point.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Event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Significance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3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Berthold Akzidenz Grote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Berthold Akzidenz Grotesk" w:cs="Berthold Akzidenz Grotesk" w:eastAsia="Berthold Akzidenz Grotesk" w:hAnsi="Berthold Akzidenz Grotesk"/>
        <w:color w:val="646a6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right" w:leader="none" w:pos="10773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</w:t>
      <w:tab/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10800"/>
        <w:tab w:val="right" w:leader="none" w:pos="10770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</w:t>
      <w:tab/>
      <w:tab/>
      <w:t xml:space="preserve">           </w:t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   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– Social Studies Grade 10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– Women’s Rights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- Grade Level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- Material Descriptor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853"/>
        <w:tab w:val="center" w:leader="none" w:pos="9923"/>
        <w:tab w:val="right" w:leader="none" w:pos="1080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71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715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203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ody" w:customStyle="1">
    <w:name w:val="Body"/>
    <w:basedOn w:val="Normal"/>
    <w:uiPriority w:val="99"/>
    <w:rsid w:val="00362349"/>
    <w:pPr>
      <w:suppressAutoHyphens w:val="1"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cs="AkzidenzGroteskBE-Light" w:hAnsi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 w:val="1"/>
    <w:rsid w:val="0096602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6602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07A2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4D3E73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D3E7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66FC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.archive.org/web/20201008053355/https:/cfc-swc.gc.ca/commemoration/whm-mhf/timeline-chronologie-en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qTQCNDPsw7j94galtEuEteiaA==">CgMxLjAyCGguZ2pkZ3hzMg5oLjFzbXQxbnR4bDZxcTgAakYKNXN1Z2dlc3RJZEltcG9ydDIxMzAxNTc2LWFiMDctNDEyZi04M2FhLTgxMDI2NDJhMTg3M18xEg1hbmEgcm9zYSBibHVlchlpZDo0UFcxZkFuM05KQUFBQUFBQUFBUDNR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2023-03-05T04:52:00Z</dcterms:created>
  <dc:creator>Camilla Coates</dc:creator>
</cp:coreProperties>
</file>